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26"/>
        <w:gridCol w:w="4226"/>
      </w:tblGrid>
      <w:tr w:rsidR="00F71AD5">
        <w:tc>
          <w:tcPr>
            <w:tcW w:w="4226" w:type="dxa"/>
          </w:tcPr>
          <w:p w:rsidR="00F71AD5" w:rsidRDefault="00F71AD5">
            <w:pPr>
              <w:pStyle w:val="Heading3"/>
              <w:rPr>
                <w:lang w:val="en-GB"/>
              </w:rPr>
            </w:pPr>
            <w:r>
              <w:rPr>
                <w:lang w:val="en-GB"/>
              </w:rPr>
              <w:t>Bonds</w:t>
            </w:r>
          </w:p>
        </w:tc>
        <w:tc>
          <w:tcPr>
            <w:tcW w:w="4226" w:type="dxa"/>
          </w:tcPr>
          <w:p w:rsidR="00F71AD5" w:rsidRPr="00AA343C" w:rsidRDefault="00F71A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F71AD5">
        <w:tc>
          <w:tcPr>
            <w:tcW w:w="4226" w:type="dxa"/>
          </w:tcPr>
          <w:p w:rsidR="00F71AD5" w:rsidRDefault="00F71A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basis point</w:t>
            </w:r>
          </w:p>
        </w:tc>
        <w:tc>
          <w:tcPr>
            <w:tcW w:w="4226" w:type="dxa"/>
          </w:tcPr>
          <w:p w:rsidR="00F71AD5" w:rsidRPr="00AA343C" w:rsidRDefault="00F71A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AA343C">
              <w:rPr>
                <w:rFonts w:ascii="Arial" w:hAnsi="Arial" w:cs="Arial"/>
                <w:sz w:val="20"/>
              </w:rPr>
              <w:t xml:space="preserve">Basispunkt (one hundredth of one percent – used to indicate changes in yields of bonds or interest rates in general) </w:t>
            </w:r>
          </w:p>
        </w:tc>
      </w:tr>
      <w:tr w:rsidR="00F71AD5">
        <w:tc>
          <w:tcPr>
            <w:tcW w:w="4226" w:type="dxa"/>
          </w:tcPr>
          <w:p w:rsidR="00F71AD5" w:rsidRDefault="00F71A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coupon</w:t>
            </w:r>
          </w:p>
        </w:tc>
        <w:tc>
          <w:tcPr>
            <w:tcW w:w="4226" w:type="dxa"/>
          </w:tcPr>
          <w:p w:rsidR="00F71AD5" w:rsidRPr="00AA343C" w:rsidRDefault="00F71A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</w:t>
            </w:r>
            <w:r w:rsidRPr="00AA343C">
              <w:rPr>
                <w:rFonts w:ascii="Arial" w:hAnsi="Arial" w:cs="Arial"/>
                <w:sz w:val="20"/>
              </w:rPr>
              <w:t>he percentage of interest paid by a bond relative to its nominal value (compare with "yield")</w:t>
            </w:r>
          </w:p>
        </w:tc>
      </w:tr>
      <w:tr w:rsidR="00F71AD5">
        <w:tc>
          <w:tcPr>
            <w:tcW w:w="4226" w:type="dxa"/>
          </w:tcPr>
          <w:p w:rsidR="00F71AD5" w:rsidRDefault="00F71A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creditworthiness (credit rating)</w:t>
            </w:r>
          </w:p>
        </w:tc>
        <w:tc>
          <w:tcPr>
            <w:tcW w:w="4226" w:type="dxa"/>
          </w:tcPr>
          <w:p w:rsidR="00F71AD5" w:rsidRPr="00AA343C" w:rsidRDefault="00F71A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AA343C">
              <w:rPr>
                <w:rFonts w:ascii="Arial" w:hAnsi="Arial" w:cs="Arial"/>
                <w:sz w:val="20"/>
              </w:rPr>
              <w:t>Bonität</w:t>
            </w:r>
          </w:p>
        </w:tc>
      </w:tr>
      <w:tr w:rsidR="00F71AD5">
        <w:tc>
          <w:tcPr>
            <w:tcW w:w="4226" w:type="dxa"/>
          </w:tcPr>
          <w:p w:rsidR="00F71AD5" w:rsidRDefault="00F71A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debentures</w:t>
            </w:r>
          </w:p>
        </w:tc>
        <w:tc>
          <w:tcPr>
            <w:tcW w:w="4226" w:type="dxa"/>
          </w:tcPr>
          <w:p w:rsidR="00F71AD5" w:rsidRDefault="00F71A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AA343C">
              <w:rPr>
                <w:rFonts w:ascii="Arial" w:hAnsi="Arial" w:cs="Arial"/>
                <w:sz w:val="20"/>
              </w:rPr>
              <w:t>Schuldverschreibung</w:t>
            </w:r>
            <w:r>
              <w:rPr>
                <w:rFonts w:ascii="Arial" w:hAnsi="Arial" w:cs="Arial"/>
                <w:sz w:val="20"/>
              </w:rPr>
              <w:t xml:space="preserve"> / Anleihen</w:t>
            </w:r>
            <w:r w:rsidRPr="00AA343C">
              <w:rPr>
                <w:rFonts w:ascii="Arial" w:hAnsi="Arial" w:cs="Arial"/>
                <w:sz w:val="20"/>
              </w:rPr>
              <w:t xml:space="preserve"> </w:t>
            </w:r>
          </w:p>
          <w:p w:rsidR="00F71AD5" w:rsidRPr="00AA343C" w:rsidRDefault="00F71A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AA343C">
              <w:rPr>
                <w:rFonts w:ascii="Arial" w:hAnsi="Arial" w:cs="Arial"/>
                <w:sz w:val="20"/>
              </w:rPr>
              <w:t>(another name for "bonds")</w:t>
            </w:r>
          </w:p>
        </w:tc>
      </w:tr>
      <w:tr w:rsidR="00F71AD5">
        <w:tc>
          <w:tcPr>
            <w:tcW w:w="4226" w:type="dxa"/>
          </w:tcPr>
          <w:p w:rsidR="00F71AD5" w:rsidRDefault="00F71A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fixed-interest securities</w:t>
            </w:r>
          </w:p>
        </w:tc>
        <w:tc>
          <w:tcPr>
            <w:tcW w:w="4226" w:type="dxa"/>
          </w:tcPr>
          <w:p w:rsidR="00F71AD5" w:rsidRPr="00AA343C" w:rsidRDefault="00F71A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AA343C">
              <w:rPr>
                <w:rFonts w:ascii="Arial" w:hAnsi="Arial" w:cs="Arial"/>
                <w:sz w:val="20"/>
              </w:rPr>
              <w:t xml:space="preserve">festverzinsliche Wertpapiere (most "bonds" are fixed-interest securities) </w:t>
            </w:r>
          </w:p>
        </w:tc>
      </w:tr>
      <w:tr w:rsidR="00F71AD5">
        <w:tc>
          <w:tcPr>
            <w:tcW w:w="4226" w:type="dxa"/>
          </w:tcPr>
          <w:p w:rsidR="00F71AD5" w:rsidRDefault="00F71A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floating rate note</w:t>
            </w:r>
          </w:p>
        </w:tc>
        <w:tc>
          <w:tcPr>
            <w:tcW w:w="4226" w:type="dxa"/>
          </w:tcPr>
          <w:p w:rsidR="00F71AD5" w:rsidRPr="00AA343C" w:rsidRDefault="00F71A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AA343C">
              <w:rPr>
                <w:rFonts w:ascii="Arial" w:hAnsi="Arial" w:cs="Arial"/>
                <w:sz w:val="20"/>
              </w:rPr>
              <w:t>variabel verzinsliche Anleihe (most "bonds" are fixed-interest securities)</w:t>
            </w:r>
          </w:p>
        </w:tc>
      </w:tr>
      <w:tr w:rsidR="00F71AD5">
        <w:tc>
          <w:tcPr>
            <w:tcW w:w="4226" w:type="dxa"/>
          </w:tcPr>
          <w:p w:rsidR="00F71AD5" w:rsidRDefault="00F71A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government bonds</w:t>
            </w:r>
          </w:p>
        </w:tc>
        <w:tc>
          <w:tcPr>
            <w:tcW w:w="4226" w:type="dxa"/>
          </w:tcPr>
          <w:p w:rsidR="00F71AD5" w:rsidRPr="00AA343C" w:rsidRDefault="00F71A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AA343C">
              <w:rPr>
                <w:rFonts w:ascii="Arial" w:hAnsi="Arial" w:cs="Arial"/>
                <w:sz w:val="20"/>
              </w:rPr>
              <w:t>Staatsanleihen</w:t>
            </w:r>
          </w:p>
        </w:tc>
      </w:tr>
      <w:tr w:rsidR="00F71AD5">
        <w:tc>
          <w:tcPr>
            <w:tcW w:w="4226" w:type="dxa"/>
          </w:tcPr>
          <w:p w:rsidR="00F71AD5" w:rsidRDefault="00F71A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interest rate</w:t>
            </w:r>
          </w:p>
        </w:tc>
        <w:tc>
          <w:tcPr>
            <w:tcW w:w="4226" w:type="dxa"/>
          </w:tcPr>
          <w:p w:rsidR="00F71AD5" w:rsidRDefault="00F71A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Zinssatz</w:t>
            </w:r>
          </w:p>
        </w:tc>
      </w:tr>
      <w:tr w:rsidR="00F71AD5">
        <w:tc>
          <w:tcPr>
            <w:tcW w:w="4226" w:type="dxa"/>
          </w:tcPr>
          <w:p w:rsidR="00F71AD5" w:rsidRDefault="00F71A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junk bond / high-yield bond</w:t>
            </w:r>
          </w:p>
        </w:tc>
        <w:tc>
          <w:tcPr>
            <w:tcW w:w="4226" w:type="dxa"/>
          </w:tcPr>
          <w:p w:rsidR="00F71AD5" w:rsidRPr="00AA343C" w:rsidRDefault="00F71A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  <w:r w:rsidRPr="00AA343C">
              <w:rPr>
                <w:rFonts w:ascii="Arial" w:hAnsi="Arial" w:cs="Arial"/>
                <w:sz w:val="20"/>
              </w:rPr>
              <w:t>ond issued by a "risky" company with a low credit rating, pays a high rate of interest</w:t>
            </w:r>
          </w:p>
        </w:tc>
      </w:tr>
      <w:tr w:rsidR="00F71AD5">
        <w:tc>
          <w:tcPr>
            <w:tcW w:w="4226" w:type="dxa"/>
          </w:tcPr>
          <w:p w:rsidR="00F71AD5" w:rsidRDefault="00F71A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maturity / maturity date</w:t>
            </w:r>
          </w:p>
        </w:tc>
        <w:tc>
          <w:tcPr>
            <w:tcW w:w="4226" w:type="dxa"/>
          </w:tcPr>
          <w:p w:rsidR="00F71AD5" w:rsidRPr="00AA343C" w:rsidRDefault="00F71A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AA343C">
              <w:rPr>
                <w:rFonts w:ascii="Arial" w:hAnsi="Arial" w:cs="Arial"/>
                <w:sz w:val="20"/>
              </w:rPr>
              <w:t>Fälligkeit / Fälligkeitsdatum</w:t>
            </w:r>
          </w:p>
        </w:tc>
      </w:tr>
      <w:tr w:rsidR="00F71AD5">
        <w:tc>
          <w:tcPr>
            <w:tcW w:w="4226" w:type="dxa"/>
          </w:tcPr>
          <w:p w:rsidR="00F71AD5" w:rsidRDefault="00F71A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principal</w:t>
            </w:r>
          </w:p>
        </w:tc>
        <w:tc>
          <w:tcPr>
            <w:tcW w:w="4226" w:type="dxa"/>
          </w:tcPr>
          <w:p w:rsidR="00F71AD5" w:rsidRPr="00AA343C" w:rsidRDefault="00F71A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AA343C">
              <w:rPr>
                <w:rFonts w:ascii="Arial" w:hAnsi="Arial" w:cs="Arial"/>
                <w:sz w:val="20"/>
              </w:rPr>
              <w:t>money paid for a bond</w:t>
            </w:r>
          </w:p>
        </w:tc>
      </w:tr>
      <w:tr w:rsidR="00F71AD5">
        <w:tc>
          <w:tcPr>
            <w:tcW w:w="4226" w:type="dxa"/>
          </w:tcPr>
          <w:p w:rsidR="00F71AD5" w:rsidRDefault="00F71A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"tick"  often used to mean basis point</w:t>
            </w:r>
          </w:p>
        </w:tc>
        <w:tc>
          <w:tcPr>
            <w:tcW w:w="4226" w:type="dxa"/>
          </w:tcPr>
          <w:p w:rsidR="00F71AD5" w:rsidRPr="00AA343C" w:rsidRDefault="00F71A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AA343C">
              <w:rPr>
                <w:rFonts w:ascii="Arial" w:hAnsi="Arial" w:cs="Arial"/>
                <w:sz w:val="20"/>
              </w:rPr>
              <w:t xml:space="preserve">Mindestkursschwankung </w:t>
            </w:r>
          </w:p>
          <w:p w:rsidR="00F71AD5" w:rsidRPr="00AA343C" w:rsidRDefault="00F71A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AA343C">
              <w:rPr>
                <w:rFonts w:ascii="Arial" w:hAnsi="Arial" w:cs="Arial"/>
                <w:sz w:val="20"/>
              </w:rPr>
              <w:t>(way of measuring bond values – see also basis point)</w:t>
            </w:r>
          </w:p>
        </w:tc>
      </w:tr>
      <w:tr w:rsidR="00F71AD5">
        <w:tc>
          <w:tcPr>
            <w:tcW w:w="4226" w:type="dxa"/>
          </w:tcPr>
          <w:p w:rsidR="00F71AD5" w:rsidRDefault="00F71A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to issue shares or bonds</w:t>
            </w:r>
          </w:p>
        </w:tc>
        <w:tc>
          <w:tcPr>
            <w:tcW w:w="4226" w:type="dxa"/>
          </w:tcPr>
          <w:p w:rsidR="00F71AD5" w:rsidRPr="00AA343C" w:rsidRDefault="00F71A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AA343C">
              <w:rPr>
                <w:rFonts w:ascii="Arial" w:hAnsi="Arial" w:cs="Arial"/>
                <w:sz w:val="20"/>
              </w:rPr>
              <w:t>ausgeben</w:t>
            </w:r>
          </w:p>
        </w:tc>
      </w:tr>
      <w:tr w:rsidR="00F71AD5">
        <w:tc>
          <w:tcPr>
            <w:tcW w:w="4226" w:type="dxa"/>
          </w:tcPr>
          <w:p w:rsidR="00F71AD5" w:rsidRDefault="00F71A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secondary market</w:t>
            </w:r>
          </w:p>
        </w:tc>
        <w:tc>
          <w:tcPr>
            <w:tcW w:w="4226" w:type="dxa"/>
          </w:tcPr>
          <w:p w:rsidR="00F71AD5" w:rsidRPr="00AA343C" w:rsidRDefault="00F71A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AA343C">
              <w:rPr>
                <w:rFonts w:ascii="Arial" w:hAnsi="Arial" w:cs="Arial"/>
                <w:sz w:val="20"/>
              </w:rPr>
              <w:t>Sekundärmarkt (bonds are traded between investors and not with the issuing company)</w:t>
            </w:r>
          </w:p>
        </w:tc>
      </w:tr>
      <w:tr w:rsidR="00F71AD5">
        <w:tc>
          <w:tcPr>
            <w:tcW w:w="4226" w:type="dxa"/>
          </w:tcPr>
          <w:p w:rsidR="00F71AD5" w:rsidRDefault="00F71A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yield</w:t>
            </w:r>
          </w:p>
        </w:tc>
        <w:tc>
          <w:tcPr>
            <w:tcW w:w="4226" w:type="dxa"/>
          </w:tcPr>
          <w:p w:rsidR="00F71AD5" w:rsidRPr="00AA343C" w:rsidRDefault="00F71A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AA343C">
              <w:rPr>
                <w:rFonts w:ascii="Arial" w:hAnsi="Arial" w:cs="Arial"/>
                <w:sz w:val="20"/>
              </w:rPr>
              <w:t>Ertrag (the percentage of interest paid by a bond relative to the amount actually paid for it)</w:t>
            </w:r>
          </w:p>
        </w:tc>
      </w:tr>
    </w:tbl>
    <w:p w:rsidR="00F71AD5" w:rsidRDefault="00F71AD5">
      <w:pPr>
        <w:autoSpaceDE w:val="0"/>
        <w:autoSpaceDN w:val="0"/>
        <w:adjustRightInd w:val="0"/>
        <w:ind w:left="340" w:hanging="340"/>
        <w:rPr>
          <w:rFonts w:ascii="Arial" w:hAnsi="Arial" w:cs="Arial"/>
          <w:b/>
          <w:bCs/>
          <w:sz w:val="20"/>
          <w:lang w:val="en-GB"/>
        </w:rPr>
      </w:pPr>
    </w:p>
    <w:sectPr w:rsidR="00F71AD5" w:rsidSect="00675ABF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66AD"/>
    <w:rsid w:val="0001201E"/>
    <w:rsid w:val="001B2DCE"/>
    <w:rsid w:val="001D3B32"/>
    <w:rsid w:val="004F4057"/>
    <w:rsid w:val="00622717"/>
    <w:rsid w:val="00675ABF"/>
    <w:rsid w:val="006C15D7"/>
    <w:rsid w:val="00755240"/>
    <w:rsid w:val="007D201C"/>
    <w:rsid w:val="008C1DD9"/>
    <w:rsid w:val="00954BB9"/>
    <w:rsid w:val="009666AD"/>
    <w:rsid w:val="00AA343C"/>
    <w:rsid w:val="00AB14FD"/>
    <w:rsid w:val="00AF086D"/>
    <w:rsid w:val="00CE225F"/>
    <w:rsid w:val="00DA431B"/>
    <w:rsid w:val="00DB59B5"/>
    <w:rsid w:val="00E009FF"/>
    <w:rsid w:val="00E1242B"/>
    <w:rsid w:val="00F44419"/>
    <w:rsid w:val="00F71AD5"/>
    <w:rsid w:val="00F7643D"/>
    <w:rsid w:val="00FF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86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086D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086D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086D"/>
    <w:pPr>
      <w:keepNext/>
      <w:autoSpaceDE w:val="0"/>
      <w:autoSpaceDN w:val="0"/>
      <w:adjustRightInd w:val="0"/>
      <w:ind w:left="340" w:hanging="340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D3B3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D3B3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D3B32"/>
    <w:rPr>
      <w:rFonts w:ascii="Cambria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160</Words>
  <Characters>1012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Bonds</dc:title>
  <dc:subject/>
  <dc:creator>MW</dc:creator>
  <cp:keywords/>
  <dc:description/>
  <cp:lastModifiedBy>MW</cp:lastModifiedBy>
  <cp:revision>6</cp:revision>
  <dcterms:created xsi:type="dcterms:W3CDTF">2016-02-29T16:15:00Z</dcterms:created>
  <dcterms:modified xsi:type="dcterms:W3CDTF">2024-02-06T13:08:00Z</dcterms:modified>
</cp:coreProperties>
</file>